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E0C9" w14:textId="0416C180" w:rsidR="00080799" w:rsidRPr="00D1198E" w:rsidRDefault="00D1198E" w:rsidP="00D1198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EA3DD5" w:rsidRPr="00EA3D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2 – Anatomía del Suelo Pélvico II</w:t>
      </w:r>
    </w:p>
    <w:p w14:paraId="21F39597" w14:textId="77777777" w:rsidR="00080799" w:rsidRDefault="00080799" w:rsidP="00080799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</w:p>
    <w:p w14:paraId="602ED273" w14:textId="77777777" w:rsidR="00080799" w:rsidRPr="00080799" w:rsidRDefault="00080799" w:rsidP="00080799"/>
    <w:p w14:paraId="40B81DFB" w14:textId="657E5EF7" w:rsidR="00EA3DD5" w:rsidRDefault="00EA3DD5" w:rsidP="00EA3DD5">
      <w:pPr>
        <w:pStyle w:val="NormalWeb"/>
        <w:numPr>
          <w:ilvl w:val="0"/>
          <w:numId w:val="3"/>
        </w:numPr>
        <w:contextualSpacing/>
      </w:pPr>
      <w:r>
        <w:t>El nervio pudendo cruza un espacio anatómico estrecho susceptible de atrapamiento. Si esa zona aumenta su tono miofascial, ¿qué tipo de síntoma es más esperable?</w:t>
      </w:r>
      <w:r>
        <w:br/>
        <w:t>A) dolor referido cervical</w:t>
      </w:r>
      <w:r>
        <w:br/>
        <w:t>B) hipoestesia genital y/o dolor perineal</w:t>
      </w:r>
      <w:r>
        <w:br/>
        <w:t>C) bloqueo de sacroilíaca unilateral</w:t>
      </w:r>
      <w:r>
        <w:br/>
        <w:t xml:space="preserve">D) </w:t>
      </w:r>
      <w:proofErr w:type="spellStart"/>
      <w:r>
        <w:t>meralgia</w:t>
      </w:r>
      <w:proofErr w:type="spellEnd"/>
      <w:r>
        <w:t xml:space="preserve"> </w:t>
      </w:r>
      <w:proofErr w:type="spellStart"/>
      <w:r>
        <w:t>parestésica</w:t>
      </w:r>
      <w:proofErr w:type="spellEnd"/>
    </w:p>
    <w:p w14:paraId="4310FC6C" w14:textId="77777777" w:rsidR="00EA3DD5" w:rsidRDefault="00EA3DD5" w:rsidP="00EA3DD5">
      <w:pPr>
        <w:pStyle w:val="NormalWeb"/>
        <w:ind w:left="720"/>
        <w:contextualSpacing/>
      </w:pPr>
    </w:p>
    <w:p w14:paraId="7262EDE3" w14:textId="46EBF9DD" w:rsidR="00EA3DD5" w:rsidRDefault="00EA3DD5" w:rsidP="00EA3DD5">
      <w:pPr>
        <w:pStyle w:val="NormalWeb"/>
        <w:numPr>
          <w:ilvl w:val="0"/>
          <w:numId w:val="3"/>
        </w:numPr>
        <w:contextualSpacing/>
      </w:pPr>
      <w:r>
        <w:t>En el triángulo urogenital conviven estructuras dinámicamente móviles. ¿Qué consecuencia práctica tiene este carácter dinámico en términos de intervención fisioterápica?</w:t>
      </w:r>
      <w:r>
        <w:br/>
        <w:t>A) la inmovilidad es la estrategia terapéutica prioritaria</w:t>
      </w:r>
      <w:r>
        <w:br/>
        <w:t>B) el entrenamiento funcional debe integrar cambios posturales</w:t>
      </w:r>
      <w:r>
        <w:br/>
        <w:t>C) la terapia manual no está indicada</w:t>
      </w:r>
      <w:r>
        <w:br/>
        <w:t>D) se recomienda inmovilización en sedestación fija</w:t>
      </w:r>
    </w:p>
    <w:p w14:paraId="2C4DD4A9" w14:textId="77777777" w:rsidR="00EA3DD5" w:rsidRDefault="00EA3DD5" w:rsidP="00EA3DD5">
      <w:pPr>
        <w:pStyle w:val="NormalWeb"/>
        <w:contextualSpacing/>
      </w:pPr>
    </w:p>
    <w:p w14:paraId="584D1726" w14:textId="65DD7E95" w:rsidR="00EA3DD5" w:rsidRDefault="00EA3DD5" w:rsidP="00EA3DD5">
      <w:pPr>
        <w:pStyle w:val="NormalWeb"/>
        <w:numPr>
          <w:ilvl w:val="0"/>
          <w:numId w:val="3"/>
        </w:numPr>
        <w:contextualSpacing/>
      </w:pPr>
      <w:r>
        <w:t xml:space="preserve">La fascia </w:t>
      </w:r>
      <w:proofErr w:type="spellStart"/>
      <w:r>
        <w:t>endopélvica</w:t>
      </w:r>
      <w:proofErr w:type="spellEnd"/>
      <w:r>
        <w:t xml:space="preserve"> conecta </w:t>
      </w:r>
      <w:proofErr w:type="spellStart"/>
      <w:r>
        <w:t>viscera</w:t>
      </w:r>
      <w:proofErr w:type="spellEnd"/>
      <w:r>
        <w:t xml:space="preserve"> y pared. Si su tensión se altera, ¿cuál es el impacto más lógico?</w:t>
      </w:r>
      <w:r>
        <w:br/>
        <w:t>A) alteración aislada de la dorsiflexión del pie</w:t>
      </w:r>
      <w:r>
        <w:br/>
        <w:t>B) cambios en vectores de tracción vesical o uretral</w:t>
      </w:r>
      <w:r>
        <w:br/>
        <w:t>C) pérdida completa de movilidad del sacro</w:t>
      </w:r>
      <w:r>
        <w:br/>
        <w:t>D) alteración directa del volumen sanguíneo cardiaco</w:t>
      </w:r>
    </w:p>
    <w:p w14:paraId="13D746F6" w14:textId="77777777" w:rsidR="00EA3DD5" w:rsidRDefault="00EA3DD5" w:rsidP="00EA3DD5">
      <w:pPr>
        <w:pStyle w:val="NormalWeb"/>
        <w:contextualSpacing/>
      </w:pPr>
    </w:p>
    <w:p w14:paraId="207DE60C" w14:textId="7D4DF829" w:rsidR="00EA3DD5" w:rsidRDefault="00EA3DD5" w:rsidP="00EA3DD5">
      <w:pPr>
        <w:pStyle w:val="NormalWeb"/>
        <w:numPr>
          <w:ilvl w:val="0"/>
          <w:numId w:val="3"/>
        </w:numPr>
        <w:contextualSpacing/>
      </w:pPr>
      <w:r>
        <w:t>La anatomía de sostén está diseñada para mantener la presión intraabdominal dentro de límites fisiológicos. ¿Qué combinación refleja mejor este modelo?</w:t>
      </w:r>
      <w:r>
        <w:br/>
        <w:t>A) estructura rígida + cierre hermético</w:t>
      </w:r>
      <w:r>
        <w:br/>
        <w:t>B) estructura adaptable + modulación dinámica</w:t>
      </w:r>
      <w:r>
        <w:br/>
        <w:t>C) estructuras fijas + ausencia de movilidad diafragmática</w:t>
      </w:r>
      <w:r>
        <w:br/>
        <w:t>D) estasis permanente + bloqueo respiratorio</w:t>
      </w:r>
    </w:p>
    <w:p w14:paraId="5ED37B1E" w14:textId="77777777" w:rsidR="00EA3DD5" w:rsidRDefault="00EA3DD5" w:rsidP="00EA3DD5">
      <w:pPr>
        <w:pStyle w:val="NormalWeb"/>
        <w:contextualSpacing/>
      </w:pPr>
    </w:p>
    <w:p w14:paraId="18EF1AA7" w14:textId="33363B86" w:rsidR="00EA3DD5" w:rsidRDefault="00EA3DD5" w:rsidP="00EA3DD5">
      <w:pPr>
        <w:pStyle w:val="NormalWeb"/>
        <w:numPr>
          <w:ilvl w:val="0"/>
          <w:numId w:val="3"/>
        </w:numPr>
        <w:contextualSpacing/>
      </w:pPr>
      <w:r>
        <w:t>Si un paciente tiene hipoestesia en dermatomas perineales, ¿qué elemento debe considerarse prioritario en el razonamiento clínico?</w:t>
      </w:r>
      <w:r>
        <w:br/>
        <w:t>A) patología vestibular</w:t>
      </w:r>
      <w:r>
        <w:br/>
        <w:t>B) afectación del pudendo o ramas terminales</w:t>
      </w:r>
      <w:r>
        <w:br/>
        <w:t>C) lesión de manguito rotador</w:t>
      </w:r>
      <w:r>
        <w:br/>
        <w:t>D) síndrome túnel carpiano</w:t>
      </w:r>
    </w:p>
    <w:p w14:paraId="13F710B6" w14:textId="77777777" w:rsidR="00080799" w:rsidRDefault="00080799" w:rsidP="00EA3DD5">
      <w:pPr>
        <w:contextualSpacing/>
      </w:pPr>
    </w:p>
    <w:sectPr w:rsidR="000807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801847">
    <w:abstractNumId w:val="1"/>
  </w:num>
  <w:num w:numId="2" w16cid:durableId="706679817">
    <w:abstractNumId w:val="2"/>
  </w:num>
  <w:num w:numId="3" w16cid:durableId="132215073">
    <w:abstractNumId w:val="0"/>
  </w:num>
  <w:num w:numId="4" w16cid:durableId="897666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49073A"/>
    <w:rsid w:val="004F5867"/>
    <w:rsid w:val="00556745"/>
    <w:rsid w:val="006C3199"/>
    <w:rsid w:val="00B32550"/>
    <w:rsid w:val="00B667F0"/>
    <w:rsid w:val="00C057BF"/>
    <w:rsid w:val="00CC5350"/>
    <w:rsid w:val="00D1198E"/>
    <w:rsid w:val="00D859EC"/>
    <w:rsid w:val="00EA3DD5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2025-11-05T16:26:00Z</dcterms:created>
  <dcterms:modified xsi:type="dcterms:W3CDTF">2025-11-05T16:26:00Z</dcterms:modified>
</cp:coreProperties>
</file>